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outlineLvl w:val="9"/>
        <w:rPr>
          <w:rFonts w:hint="eastAsia"/>
          <w:b/>
          <w:bCs/>
          <w:lang w:val="en-US" w:eastAsia="zh-CN"/>
        </w:rPr>
      </w:pPr>
      <w:r>
        <w:rPr>
          <w:rFonts w:hint="eastAsia"/>
          <w:b/>
          <w:bCs/>
          <w:sz w:val="36"/>
          <w:szCs w:val="36"/>
          <w:lang w:val="en-US" w:eastAsia="zh-CN"/>
        </w:rPr>
        <w:t>江苏省公共工程建设中心材料设备平台供应商模块功能操作手册</w:t>
      </w:r>
    </w:p>
    <w:p>
      <w:pPr>
        <w:pStyle w:val="2"/>
        <w:numPr>
          <w:ilvl w:val="0"/>
          <w:numId w:val="1"/>
        </w:numPr>
        <w:bidi w:val="0"/>
        <w:outlineLvl w:val="0"/>
        <w:rPr>
          <w:rFonts w:hint="default"/>
          <w:lang w:val="en-US" w:eastAsia="zh-CN"/>
        </w:rPr>
      </w:pPr>
      <w:r>
        <w:rPr>
          <w:rFonts w:hint="eastAsia"/>
          <w:lang w:val="en-US" w:eastAsia="zh-CN"/>
        </w:rPr>
        <w:t>访问</w:t>
      </w:r>
    </w:p>
    <w:p>
      <w:pPr>
        <w:numPr>
          <w:numId w:val="0"/>
        </w:numPr>
        <w:bidi w:val="0"/>
        <w:rPr>
          <w:rFonts w:hint="eastAsia" w:ascii="新宋体" w:hAnsi="新宋体" w:eastAsia="新宋体" w:cs="新宋体"/>
          <w:sz w:val="32"/>
          <w:szCs w:val="32"/>
          <w:lang w:val="en-US" w:eastAsia="zh-CN"/>
        </w:rPr>
      </w:pPr>
      <w:r>
        <w:rPr>
          <w:rFonts w:hint="eastAsia" w:ascii="新宋体" w:hAnsi="新宋体" w:eastAsia="新宋体" w:cs="新宋体"/>
          <w:sz w:val="32"/>
          <w:szCs w:val="32"/>
          <w:lang w:val="en-US" w:eastAsia="zh-CN"/>
        </w:rPr>
        <w:t>1.1打开浏览器输入：</w:t>
      </w:r>
      <w:r>
        <w:rPr>
          <w:rFonts w:hint="eastAsia" w:ascii="新宋体" w:hAnsi="新宋体" w:eastAsia="新宋体" w:cs="新宋体"/>
          <w:sz w:val="32"/>
          <w:szCs w:val="32"/>
          <w:u w:val="single"/>
          <w:lang w:val="en-US" w:eastAsia="zh-CN"/>
        </w:rPr>
        <w:fldChar w:fldCharType="begin"/>
      </w:r>
      <w:r>
        <w:rPr>
          <w:rFonts w:hint="eastAsia" w:ascii="新宋体" w:hAnsi="新宋体" w:eastAsia="新宋体" w:cs="新宋体"/>
          <w:sz w:val="32"/>
          <w:szCs w:val="32"/>
          <w:u w:val="single"/>
          <w:lang w:val="en-US" w:eastAsia="zh-CN"/>
        </w:rPr>
        <w:instrText xml:space="preserve"> HYPERLINK "http://www.jspwc.com/jsgjzxweb，鼠标滚动条滑动至页面最底部，找到材料设备管理模块，点击进入。" </w:instrText>
      </w:r>
      <w:r>
        <w:rPr>
          <w:rFonts w:hint="eastAsia" w:ascii="新宋体" w:hAnsi="新宋体" w:eastAsia="新宋体" w:cs="新宋体"/>
          <w:sz w:val="32"/>
          <w:szCs w:val="32"/>
          <w:u w:val="single"/>
          <w:lang w:val="en-US" w:eastAsia="zh-CN"/>
        </w:rPr>
        <w:fldChar w:fldCharType="separate"/>
      </w:r>
      <w:r>
        <w:rPr>
          <w:rStyle w:val="7"/>
          <w:rFonts w:hint="eastAsia" w:ascii="新宋体" w:hAnsi="新宋体" w:eastAsia="新宋体" w:cs="新宋体"/>
          <w:sz w:val="32"/>
          <w:szCs w:val="32"/>
          <w:lang w:val="en-US" w:eastAsia="zh-CN"/>
        </w:rPr>
        <w:t>http://www.jspwc.com/jsgjzxweb，</w:t>
      </w:r>
      <w:r>
        <w:rPr>
          <w:rFonts w:hint="eastAsia" w:ascii="新宋体" w:hAnsi="新宋体" w:eastAsia="新宋体" w:cs="新宋体"/>
          <w:sz w:val="32"/>
          <w:szCs w:val="32"/>
          <w:lang w:val="en-US" w:eastAsia="zh-CN"/>
        </w:rPr>
        <w:t>鼠标滚动条滑动至页面最底部，找到材料设备管理模块，点击进入。</w:t>
      </w:r>
      <w:r>
        <w:rPr>
          <w:rFonts w:hint="eastAsia" w:ascii="新宋体" w:hAnsi="新宋体" w:eastAsia="新宋体" w:cs="新宋体"/>
          <w:sz w:val="32"/>
          <w:szCs w:val="32"/>
          <w:u w:val="single"/>
          <w:lang w:val="en-US" w:eastAsia="zh-CN"/>
        </w:rPr>
        <w:fldChar w:fldCharType="end"/>
      </w:r>
      <w:r>
        <w:rPr>
          <w:rFonts w:hint="eastAsia" w:ascii="新宋体" w:hAnsi="新宋体" w:eastAsia="新宋体" w:cs="新宋体"/>
          <w:sz w:val="32"/>
          <w:szCs w:val="32"/>
          <w:u w:val="none"/>
          <w:lang w:val="en-US" w:eastAsia="zh-CN"/>
        </w:rPr>
        <w:t>（</w:t>
      </w:r>
      <w:r>
        <w:rPr>
          <w:rFonts w:hint="eastAsia" w:ascii="新宋体" w:hAnsi="新宋体" w:eastAsia="新宋体" w:cs="新宋体"/>
          <w:sz w:val="32"/>
          <w:szCs w:val="32"/>
          <w:lang w:val="en-US" w:eastAsia="zh-CN"/>
        </w:rPr>
        <w:t>如下图</w:t>
      </w:r>
      <w:r>
        <w:rPr>
          <w:rFonts w:hint="eastAsia" w:ascii="新宋体" w:hAnsi="新宋体" w:eastAsia="新宋体" w:cs="新宋体"/>
          <w:sz w:val="32"/>
          <w:szCs w:val="32"/>
          <w:u w:val="none"/>
          <w:lang w:val="en-US" w:eastAsia="zh-CN"/>
        </w:rPr>
        <w:t>）</w:t>
      </w:r>
    </w:p>
    <w:p>
      <w:pPr>
        <w:numPr>
          <w:numId w:val="0"/>
        </w:numPr>
        <w:bidi w:val="0"/>
        <w:jc w:val="center"/>
      </w:pPr>
      <w:r>
        <w:drawing>
          <wp:inline distT="0" distB="0" distL="114300" distR="114300">
            <wp:extent cx="5270500" cy="1507490"/>
            <wp:effectExtent l="0" t="0" r="635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1507490"/>
                    </a:xfrm>
                    <a:prstGeom prst="rect">
                      <a:avLst/>
                    </a:prstGeom>
                    <a:noFill/>
                    <a:ln>
                      <a:noFill/>
                    </a:ln>
                  </pic:spPr>
                </pic:pic>
              </a:graphicData>
            </a:graphic>
          </wp:inline>
        </w:drawing>
      </w:r>
    </w:p>
    <w:p>
      <w:pPr>
        <w:numPr>
          <w:numId w:val="0"/>
        </w:numPr>
        <w:bidi w:val="0"/>
        <w:jc w:val="center"/>
        <w:rPr>
          <w:rFonts w:hint="eastAsia" w:eastAsiaTheme="minorEastAsia"/>
          <w:lang w:val="en-US" w:eastAsia="zh-CN"/>
        </w:rPr>
      </w:pPr>
    </w:p>
    <w:p>
      <w:pPr>
        <w:pStyle w:val="2"/>
        <w:bidi w:val="0"/>
        <w:outlineLvl w:val="0"/>
      </w:pPr>
      <w:r>
        <w:rPr>
          <w:rFonts w:hint="eastAsia"/>
          <w:lang w:val="en-US" w:eastAsia="zh-CN"/>
        </w:rPr>
        <w:t>2.注册、登录</w:t>
      </w:r>
    </w:p>
    <w:p>
      <w:pPr>
        <w:numPr>
          <w:ilvl w:val="0"/>
          <w:numId w:val="1"/>
        </w:numPr>
        <w:bidi w:val="0"/>
        <w:rPr>
          <w:rFonts w:hint="eastAsia" w:ascii="新宋体" w:hAnsi="新宋体" w:eastAsia="新宋体" w:cs="新宋体"/>
          <w:sz w:val="32"/>
          <w:szCs w:val="32"/>
          <w:lang w:val="en-US" w:eastAsia="zh-CN"/>
        </w:rPr>
      </w:pPr>
      <w:r>
        <w:rPr>
          <w:rFonts w:hint="eastAsia" w:ascii="新宋体" w:hAnsi="新宋体" w:eastAsia="新宋体" w:cs="新宋体"/>
          <w:sz w:val="32"/>
          <w:szCs w:val="32"/>
          <w:lang w:val="en-US" w:eastAsia="zh-CN"/>
        </w:rPr>
        <w:t>1进入材料设备主平台后，点击供应商登录按钮进行供应商的报名注册及注册成功后的登录等操作。（如下图）</w:t>
      </w:r>
    </w:p>
    <w:p>
      <w:pPr>
        <w:numPr>
          <w:numId w:val="0"/>
        </w:numPr>
        <w:bidi w:val="0"/>
      </w:pPr>
      <w:r>
        <w:drawing>
          <wp:inline distT="0" distB="0" distL="114300" distR="114300">
            <wp:extent cx="5259070" cy="2188845"/>
            <wp:effectExtent l="0" t="0" r="1778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59070" cy="2188845"/>
                    </a:xfrm>
                    <a:prstGeom prst="rect">
                      <a:avLst/>
                    </a:prstGeom>
                    <a:noFill/>
                    <a:ln>
                      <a:noFill/>
                    </a:ln>
                  </pic:spPr>
                </pic:pic>
              </a:graphicData>
            </a:graphic>
          </wp:inline>
        </w:drawing>
      </w:r>
    </w:p>
    <w:p>
      <w:pPr>
        <w:numPr>
          <w:numId w:val="0"/>
        </w:numPr>
        <w:bidi w:val="0"/>
      </w:pPr>
      <w:r>
        <w:drawing>
          <wp:inline distT="0" distB="0" distL="114300" distR="114300">
            <wp:extent cx="5274310" cy="2613660"/>
            <wp:effectExtent l="0" t="0" r="254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2613660"/>
                    </a:xfrm>
                    <a:prstGeom prst="rect">
                      <a:avLst/>
                    </a:prstGeom>
                    <a:noFill/>
                    <a:ln>
                      <a:noFill/>
                    </a:ln>
                  </pic:spPr>
                </pic:pic>
              </a:graphicData>
            </a:graphic>
          </wp:inline>
        </w:drawing>
      </w:r>
    </w:p>
    <w:p>
      <w:pPr>
        <w:numPr>
          <w:numId w:val="0"/>
        </w:numPr>
        <w:bidi w:val="0"/>
        <w:rPr>
          <w:rFonts w:hint="eastAsia" w:ascii="新宋体" w:hAnsi="新宋体" w:eastAsia="新宋体" w:cs="新宋体"/>
          <w:sz w:val="32"/>
          <w:szCs w:val="32"/>
          <w:lang w:val="en-US" w:eastAsia="zh-CN"/>
        </w:rPr>
      </w:pPr>
      <w:r>
        <w:rPr>
          <w:rFonts w:hint="eastAsia" w:ascii="新宋体" w:hAnsi="新宋体" w:eastAsia="新宋体" w:cs="新宋体"/>
          <w:sz w:val="32"/>
          <w:szCs w:val="32"/>
          <w:lang w:val="en-US" w:eastAsia="zh-CN"/>
        </w:rPr>
        <w:t>2.2打开注册页面后，请按照要求认真填报各项入库报名资料。（如下图）</w:t>
      </w:r>
    </w:p>
    <w:p>
      <w:pPr>
        <w:numPr>
          <w:numId w:val="0"/>
        </w:numPr>
        <w:bidi w:val="0"/>
      </w:pPr>
      <w:r>
        <w:drawing>
          <wp:inline distT="0" distB="0" distL="114300" distR="114300">
            <wp:extent cx="5269865" cy="2523490"/>
            <wp:effectExtent l="0" t="0" r="698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9865" cy="2523490"/>
                    </a:xfrm>
                    <a:prstGeom prst="rect">
                      <a:avLst/>
                    </a:prstGeom>
                    <a:noFill/>
                    <a:ln>
                      <a:noFill/>
                    </a:ln>
                  </pic:spPr>
                </pic:pic>
              </a:graphicData>
            </a:graphic>
          </wp:inline>
        </w:drawing>
      </w:r>
    </w:p>
    <w:p>
      <w:pPr>
        <w:numPr>
          <w:numId w:val="0"/>
        </w:numPr>
        <w:bidi w:val="0"/>
      </w:pPr>
    </w:p>
    <w:p>
      <w:pPr>
        <w:numPr>
          <w:ilvl w:val="0"/>
          <w:numId w:val="0"/>
        </w:numPr>
        <w:bidi w:val="0"/>
        <w:rPr>
          <w:rFonts w:hint="eastAsia" w:ascii="新宋体" w:hAnsi="新宋体" w:eastAsia="新宋体" w:cs="新宋体"/>
          <w:sz w:val="32"/>
          <w:szCs w:val="32"/>
          <w:lang w:val="en-US" w:eastAsia="zh-CN"/>
        </w:rPr>
      </w:pPr>
      <w:r>
        <w:rPr>
          <w:rFonts w:hint="eastAsia" w:ascii="新宋体" w:hAnsi="新宋体" w:eastAsia="新宋体" w:cs="新宋体"/>
          <w:sz w:val="32"/>
          <w:szCs w:val="32"/>
          <w:lang w:val="en-US" w:eastAsia="zh-CN"/>
        </w:rPr>
        <w:t>2.3注册成功后的供应商可</w:t>
      </w:r>
      <w:bookmarkStart w:id="0" w:name="_GoBack"/>
      <w:bookmarkEnd w:id="0"/>
      <w:r>
        <w:rPr>
          <w:rFonts w:hint="eastAsia" w:ascii="新宋体" w:hAnsi="新宋体" w:eastAsia="新宋体" w:cs="新宋体"/>
          <w:sz w:val="32"/>
          <w:szCs w:val="32"/>
          <w:lang w:val="en-US" w:eastAsia="zh-CN"/>
        </w:rPr>
        <w:t>使用注册时的手机号码及设定的密码进行登录操作，登录成功后可以查询注册的信息。（如下图）</w:t>
      </w:r>
    </w:p>
    <w:p>
      <w:pPr>
        <w:numPr>
          <w:ilvl w:val="0"/>
          <w:numId w:val="0"/>
        </w:numPr>
        <w:bidi w:val="0"/>
      </w:pPr>
      <w:r>
        <w:drawing>
          <wp:inline distT="0" distB="0" distL="114300" distR="114300">
            <wp:extent cx="5269230" cy="2282825"/>
            <wp:effectExtent l="0" t="0" r="762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69230" cy="2282825"/>
                    </a:xfrm>
                    <a:prstGeom prst="rect">
                      <a:avLst/>
                    </a:prstGeom>
                    <a:noFill/>
                    <a:ln>
                      <a:noFill/>
                    </a:ln>
                  </pic:spPr>
                </pic:pic>
              </a:graphicData>
            </a:graphic>
          </wp:inline>
        </w:drawing>
      </w:r>
    </w:p>
    <w:p>
      <w:pPr>
        <w:numPr>
          <w:ilvl w:val="0"/>
          <w:numId w:val="0"/>
        </w:numPr>
        <w:bidi w:val="0"/>
        <w:rPr>
          <w:rFonts w:hint="eastAsia" w:ascii="新宋体" w:hAnsi="新宋体" w:eastAsia="新宋体" w:cs="新宋体"/>
          <w:sz w:val="32"/>
          <w:szCs w:val="32"/>
          <w:lang w:val="en-US" w:eastAsia="zh-CN"/>
        </w:rPr>
      </w:pPr>
      <w:r>
        <w:rPr>
          <w:rFonts w:hint="eastAsia" w:ascii="新宋体" w:hAnsi="新宋体" w:eastAsia="新宋体" w:cs="新宋体"/>
          <w:sz w:val="32"/>
          <w:szCs w:val="32"/>
          <w:lang w:val="en-US" w:eastAsia="zh-CN"/>
        </w:rPr>
        <w:t>2.4当一个供应商需要申报多个品种时，可点击申报其他品种，选择对应的专业类别品种即可（</w:t>
      </w:r>
      <w:r>
        <w:rPr>
          <w:rFonts w:hint="eastAsia" w:ascii="新宋体" w:hAnsi="新宋体" w:eastAsia="新宋体" w:cs="新宋体"/>
          <w:color w:val="FF0000"/>
          <w:sz w:val="32"/>
          <w:szCs w:val="32"/>
          <w:lang w:val="en-US" w:eastAsia="zh-CN"/>
        </w:rPr>
        <w:t>注:二次申报的供应商登录原账号按照此方法进行第二次的品种报名</w:t>
      </w:r>
      <w:r>
        <w:rPr>
          <w:rFonts w:hint="eastAsia" w:ascii="新宋体" w:hAnsi="新宋体" w:eastAsia="新宋体" w:cs="新宋体"/>
          <w:sz w:val="32"/>
          <w:szCs w:val="32"/>
          <w:lang w:val="en-US" w:eastAsia="zh-CN"/>
        </w:rPr>
        <w:t>）。（如下图）</w:t>
      </w:r>
    </w:p>
    <w:p>
      <w:pPr>
        <w:numPr>
          <w:ilvl w:val="0"/>
          <w:numId w:val="0"/>
        </w:numPr>
        <w:bidi w:val="0"/>
      </w:pPr>
      <w:r>
        <w:drawing>
          <wp:inline distT="0" distB="0" distL="114300" distR="114300">
            <wp:extent cx="5260340" cy="2284730"/>
            <wp:effectExtent l="0" t="0" r="1651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0340" cy="2284730"/>
                    </a:xfrm>
                    <a:prstGeom prst="rect">
                      <a:avLst/>
                    </a:prstGeom>
                    <a:noFill/>
                    <a:ln>
                      <a:noFill/>
                    </a:ln>
                  </pic:spPr>
                </pic:pic>
              </a:graphicData>
            </a:graphic>
          </wp:inline>
        </w:drawing>
      </w:r>
    </w:p>
    <w:p>
      <w:pPr>
        <w:numPr>
          <w:ilvl w:val="0"/>
          <w:numId w:val="0"/>
        </w:numPr>
        <w:bidi w:val="0"/>
      </w:pPr>
    </w:p>
    <w:p>
      <w:pPr>
        <w:numPr>
          <w:ilvl w:val="0"/>
          <w:numId w:val="0"/>
        </w:numPr>
        <w:bidi w:val="0"/>
        <w:rPr>
          <w:rFonts w:hint="eastAsia" w:ascii="新宋体" w:hAnsi="新宋体" w:eastAsia="新宋体" w:cs="新宋体"/>
          <w:sz w:val="32"/>
          <w:szCs w:val="32"/>
          <w:lang w:val="en-US" w:eastAsia="zh-CN"/>
        </w:rPr>
      </w:pPr>
      <w:r>
        <w:rPr>
          <w:rFonts w:hint="eastAsia" w:ascii="新宋体" w:hAnsi="新宋体" w:eastAsia="新宋体" w:cs="新宋体"/>
          <w:sz w:val="32"/>
          <w:szCs w:val="32"/>
          <w:lang w:val="en-US" w:eastAsia="zh-CN"/>
        </w:rPr>
        <w:t>2.5注册信息修改，当发现注册报名的信息有误时，可在报名截止时间之前对报名的资料进行调整，点击页面上的修改注册信息即可。（如下图）</w:t>
      </w:r>
    </w:p>
    <w:p>
      <w:pPr>
        <w:numPr>
          <w:ilvl w:val="0"/>
          <w:numId w:val="0"/>
        </w:numPr>
        <w:bidi w:val="0"/>
        <w:rPr>
          <w:rFonts w:hint="default" w:ascii="新宋体" w:hAnsi="新宋体" w:eastAsia="新宋体" w:cs="新宋体"/>
          <w:sz w:val="32"/>
          <w:szCs w:val="32"/>
          <w:lang w:val="en-US" w:eastAsia="zh-CN"/>
        </w:rPr>
      </w:pPr>
      <w:r>
        <w:drawing>
          <wp:inline distT="0" distB="0" distL="114300" distR="114300">
            <wp:extent cx="5271770" cy="2590165"/>
            <wp:effectExtent l="0" t="0" r="508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1770" cy="2590165"/>
                    </a:xfrm>
                    <a:prstGeom prst="rect">
                      <a:avLst/>
                    </a:prstGeom>
                    <a:noFill/>
                    <a:ln>
                      <a:noFill/>
                    </a:ln>
                  </pic:spPr>
                </pic:pic>
              </a:graphicData>
            </a:graphic>
          </wp:inline>
        </w:drawing>
      </w:r>
    </w:p>
    <w:p>
      <w:pPr>
        <w:pStyle w:val="2"/>
        <w:numPr>
          <w:ilvl w:val="0"/>
          <w:numId w:val="1"/>
        </w:numPr>
        <w:bidi w:val="0"/>
        <w:outlineLvl w:val="0"/>
        <w:rPr>
          <w:rFonts w:hint="default"/>
          <w:lang w:val="en-US" w:eastAsia="zh-CN"/>
        </w:rPr>
      </w:pPr>
      <w:r>
        <w:rPr>
          <w:rFonts w:hint="eastAsia"/>
          <w:lang w:val="en-US" w:eastAsia="zh-CN"/>
        </w:rPr>
        <w:t>查询</w:t>
      </w:r>
    </w:p>
    <w:p>
      <w:pPr>
        <w:numPr>
          <w:ilvl w:val="0"/>
          <w:numId w:val="0"/>
        </w:numPr>
        <w:bidi w:val="0"/>
        <w:rPr>
          <w:rFonts w:hint="eastAsia" w:ascii="新宋体" w:hAnsi="新宋体" w:eastAsia="新宋体" w:cs="新宋体"/>
          <w:sz w:val="32"/>
          <w:szCs w:val="32"/>
          <w:lang w:val="en-US" w:eastAsia="zh-CN"/>
        </w:rPr>
      </w:pPr>
      <w:r>
        <w:rPr>
          <w:rFonts w:hint="eastAsia" w:ascii="新宋体" w:hAnsi="新宋体" w:eastAsia="新宋体" w:cs="新宋体"/>
          <w:sz w:val="32"/>
          <w:szCs w:val="32"/>
          <w:lang w:val="en-US" w:eastAsia="zh-CN"/>
        </w:rPr>
        <w:t>3.1对二次报名的供应商账号查询，由于品牌入库第一次与第二次报名时间间隔较长，导致第一次已报名的供应商忘记登录账号，可做以下操作查询已报名的账号信息，点击供应商登录页面的历史批次账号查询，输入该单位的社会信用统一代码，点击查询即可显示已注册的信息。（如下图）</w:t>
      </w:r>
    </w:p>
    <w:p>
      <w:pPr>
        <w:numPr>
          <w:ilvl w:val="0"/>
          <w:numId w:val="0"/>
        </w:numPr>
        <w:bidi w:val="0"/>
      </w:pPr>
      <w:r>
        <w:drawing>
          <wp:inline distT="0" distB="0" distL="114300" distR="114300">
            <wp:extent cx="5273040" cy="2598420"/>
            <wp:effectExtent l="0" t="0" r="381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3040" cy="2598420"/>
                    </a:xfrm>
                    <a:prstGeom prst="rect">
                      <a:avLst/>
                    </a:prstGeom>
                    <a:noFill/>
                    <a:ln>
                      <a:noFill/>
                    </a:ln>
                  </pic:spPr>
                </pic:pic>
              </a:graphicData>
            </a:graphic>
          </wp:inline>
        </w:drawing>
      </w:r>
    </w:p>
    <w:p>
      <w:pPr>
        <w:numPr>
          <w:ilvl w:val="0"/>
          <w:numId w:val="0"/>
        </w:numPr>
        <w:bidi w:val="0"/>
      </w:pPr>
      <w:r>
        <w:drawing>
          <wp:inline distT="0" distB="0" distL="114300" distR="114300">
            <wp:extent cx="5273040" cy="1268095"/>
            <wp:effectExtent l="0" t="0" r="381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3040" cy="1268095"/>
                    </a:xfrm>
                    <a:prstGeom prst="rect">
                      <a:avLst/>
                    </a:prstGeom>
                    <a:noFill/>
                    <a:ln>
                      <a:noFill/>
                    </a:ln>
                  </pic:spPr>
                </pic:pic>
              </a:graphicData>
            </a:graphic>
          </wp:inline>
        </w:drawing>
      </w:r>
    </w:p>
    <w:p>
      <w:pPr>
        <w:numPr>
          <w:ilvl w:val="0"/>
          <w:numId w:val="0"/>
        </w:numPr>
        <w:bidi w:val="0"/>
      </w:pPr>
    </w:p>
    <w:p>
      <w:pPr>
        <w:pStyle w:val="2"/>
        <w:numPr>
          <w:ilvl w:val="0"/>
          <w:numId w:val="1"/>
        </w:numPr>
        <w:bidi w:val="0"/>
        <w:ind w:left="0" w:leftChars="0" w:firstLine="0" w:firstLineChars="0"/>
        <w:outlineLvl w:val="0"/>
        <w:rPr>
          <w:rFonts w:hint="eastAsia"/>
          <w:b/>
          <w:lang w:val="en-US" w:eastAsia="zh-CN"/>
        </w:rPr>
      </w:pPr>
      <w:r>
        <w:rPr>
          <w:rFonts w:hint="eastAsia"/>
          <w:b/>
          <w:lang w:val="en-US" w:eastAsia="zh-CN"/>
        </w:rPr>
        <w:t>技术支持</w:t>
      </w:r>
    </w:p>
    <w:p>
      <w:pPr>
        <w:numPr>
          <w:numId w:val="0"/>
        </w:numPr>
        <w:ind w:leftChars="0"/>
        <w:rPr>
          <w:rFonts w:hint="eastAsia"/>
          <w:lang w:val="en-US" w:eastAsia="zh-CN"/>
        </w:rPr>
      </w:pPr>
      <w:r>
        <w:rPr>
          <w:rFonts w:hint="eastAsia" w:ascii="新宋体" w:hAnsi="新宋体" w:eastAsia="新宋体" w:cs="新宋体"/>
          <w:sz w:val="32"/>
          <w:szCs w:val="32"/>
          <w:lang w:val="en-US" w:eastAsia="zh-CN"/>
        </w:rPr>
        <w:t>4.1江苏省公共工程建设中心-联系电话：（025）85500298，（025）83286902，孙工、张工（业务问题咨询）</w:t>
      </w:r>
      <w:r>
        <w:rPr>
          <w:rFonts w:hint="eastAsia"/>
          <w:lang w:val="en-US" w:eastAsia="zh-CN"/>
        </w:rPr>
        <w:t>。</w:t>
      </w:r>
    </w:p>
    <w:p>
      <w:pPr>
        <w:numPr>
          <w:numId w:val="0"/>
        </w:numPr>
        <w:ind w:leftChars="0"/>
        <w:rPr>
          <w:rFonts w:hint="eastAsia"/>
          <w:lang w:val="en-US" w:eastAsia="zh-CN"/>
        </w:rPr>
      </w:pPr>
    </w:p>
    <w:p>
      <w:pPr>
        <w:numPr>
          <w:ilvl w:val="0"/>
          <w:numId w:val="0"/>
        </w:numPr>
        <w:ind w:leftChars="0"/>
        <w:rPr>
          <w:rFonts w:hint="default" w:ascii="新宋体" w:hAnsi="新宋体" w:eastAsia="新宋体" w:cs="新宋体"/>
          <w:sz w:val="32"/>
          <w:szCs w:val="32"/>
          <w:lang w:val="en-US" w:eastAsia="zh-CN"/>
        </w:rPr>
      </w:pPr>
      <w:r>
        <w:rPr>
          <w:rFonts w:hint="eastAsia" w:ascii="新宋体" w:hAnsi="新宋体" w:eastAsia="新宋体" w:cs="新宋体"/>
          <w:sz w:val="32"/>
          <w:szCs w:val="32"/>
          <w:lang w:val="en-US" w:eastAsia="zh-CN"/>
        </w:rPr>
        <w:t>4.2南京建普软件有限公司-联系电话：18512555754,刘工（系统使用问题咨询）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ADDF45"/>
    <w:multiLevelType w:val="singleLevel"/>
    <w:tmpl w:val="9AADDF4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A84B44"/>
    <w:rsid w:val="08FC075A"/>
    <w:rsid w:val="0BBD27EE"/>
    <w:rsid w:val="0CE37B81"/>
    <w:rsid w:val="0DF64BE9"/>
    <w:rsid w:val="15127054"/>
    <w:rsid w:val="15C87B67"/>
    <w:rsid w:val="17DA2C6E"/>
    <w:rsid w:val="18E24E85"/>
    <w:rsid w:val="1C8D3975"/>
    <w:rsid w:val="25AD5BD8"/>
    <w:rsid w:val="35E65770"/>
    <w:rsid w:val="47AE3D70"/>
    <w:rsid w:val="4A7E2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character" w:styleId="7">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2021-10-13T08:46:47Z</dcterms:created>
  <dc:creator>liufei</dc:creator>
  <cp:lastModifiedBy>liufei</cp:lastModifiedBy>
  <dcterms:modified xsi:type="dcterms:W3CDTF">2021-10-13T09:47:54Z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A36D73C75F81436B851A695AD866D2DB</vt:lpwstr>
  </property>
</Properties>
</file>